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DB" w:rsidRPr="00CC71D6" w:rsidRDefault="00B732DB" w:rsidP="00B732DB">
      <w:pPr>
        <w:spacing w:after="160" w:line="259" w:lineRule="auto"/>
        <w:rPr>
          <w:rFonts w:cs="Arial"/>
          <w:color w:val="FF0000"/>
        </w:rPr>
      </w:pPr>
      <w:r w:rsidRPr="00CC71D6">
        <w:rPr>
          <w:rFonts w:cs="Arial"/>
        </w:rPr>
        <w:t xml:space="preserve">Mark wil graag zijn eigen lichtshow maken en experimenteert tijdens de natuurkunde les in een donkere kamer met wat gekleurde lampen. Uiteindelijk komt hij tot de opstelling die hieronder is weergegeven. </w:t>
      </w:r>
      <m:oMath>
        <m:r>
          <m:rPr>
            <m:sty m:val="b"/>
          </m:rPr>
          <w:rPr>
            <w:rFonts w:ascii="Cambria Math" w:hAnsi="Cambria Math" w:cs="Arial"/>
          </w:rPr>
          <m:t>G</m:t>
        </m:r>
      </m:oMath>
      <w:r w:rsidRPr="00CC71D6">
        <w:rPr>
          <w:rFonts w:cs="Arial"/>
        </w:rPr>
        <w:t xml:space="preserve"> is een groen gekleurde lamp, </w:t>
      </w:r>
      <m:oMath>
        <m:r>
          <m:rPr>
            <m:sty m:val="b"/>
          </m:rPr>
          <w:rPr>
            <w:rFonts w:ascii="Cambria Math" w:hAnsi="Cambria Math" w:cs="Arial"/>
          </w:rPr>
          <m:t>R</m:t>
        </m:r>
      </m:oMath>
      <w:r w:rsidRPr="00CC71D6">
        <w:rPr>
          <w:rFonts w:cs="Arial"/>
        </w:rPr>
        <w:t xml:space="preserve"> is een rood gekle</w:t>
      </w:r>
      <w:proofErr w:type="spellStart"/>
      <w:r w:rsidRPr="00CC71D6">
        <w:rPr>
          <w:rFonts w:cs="Arial"/>
        </w:rPr>
        <w:t>urde</w:t>
      </w:r>
      <w:proofErr w:type="spellEnd"/>
      <w:r w:rsidRPr="00CC71D6">
        <w:rPr>
          <w:rFonts w:cs="Arial"/>
        </w:rPr>
        <w:t xml:space="preserve"> lamp en </w:t>
      </w:r>
      <m:oMath>
        <m:r>
          <m:rPr>
            <m:sty m:val="b"/>
          </m:rPr>
          <w:rPr>
            <w:rFonts w:ascii="Cambria Math" w:hAnsi="Cambria Math" w:cs="Arial"/>
          </w:rPr>
          <m:t>B</m:t>
        </m:r>
      </m:oMath>
      <w:r w:rsidRPr="00CC71D6">
        <w:rPr>
          <w:rFonts w:cs="Arial"/>
        </w:rPr>
        <w:t xml:space="preserve"> is een metalen blokje wat hij voor de lampen zet. </w:t>
      </w:r>
    </w:p>
    <w:tbl>
      <w:tblPr>
        <w:tblpPr w:leftFromText="141" w:rightFromText="141" w:vertAnchor="text" w:horzAnchor="page" w:tblpX="9103" w:tblpY="198"/>
        <w:tblW w:w="2204" w:type="dxa"/>
        <w:tblCellMar>
          <w:left w:w="70" w:type="dxa"/>
          <w:right w:w="70" w:type="dxa"/>
        </w:tblCellMar>
        <w:tblLook w:val="04A0" w:firstRow="1" w:lastRow="0" w:firstColumn="1" w:lastColumn="0" w:noHBand="0" w:noVBand="1"/>
      </w:tblPr>
      <w:tblGrid>
        <w:gridCol w:w="837"/>
        <w:gridCol w:w="1430"/>
      </w:tblGrid>
      <w:tr w:rsidR="00B732DB" w:rsidRPr="00CC71D6" w:rsidTr="00401DFA">
        <w:trPr>
          <w:trHeight w:val="255"/>
        </w:trPr>
        <w:tc>
          <w:tcPr>
            <w:tcW w:w="774" w:type="dxa"/>
            <w:tcBorders>
              <w:top w:val="single" w:sz="4" w:space="0" w:color="FFFFFF"/>
              <w:left w:val="single" w:sz="4" w:space="0" w:color="FFFFFF"/>
              <w:bottom w:val="single" w:sz="4" w:space="0" w:color="FFFFFF"/>
              <w:right w:val="single" w:sz="4" w:space="0" w:color="FFFFFF"/>
            </w:tcBorders>
            <w:shd w:val="clear" w:color="000000" w:fill="0070C0"/>
            <w:noWrap/>
            <w:vAlign w:val="bottom"/>
            <w:hideMark/>
          </w:tcPr>
          <w:p w:rsidR="00B732DB" w:rsidRPr="00CC71D6" w:rsidRDefault="00B732DB" w:rsidP="00401DFA">
            <w:pPr>
              <w:spacing w:line="240" w:lineRule="auto"/>
              <w:rPr>
                <w:rFonts w:eastAsia="Times New Roman" w:cs="Arial"/>
                <w:b/>
                <w:color w:val="FFFFFF"/>
              </w:rPr>
            </w:pPr>
            <w:r w:rsidRPr="00CC71D6">
              <w:rPr>
                <w:rFonts w:eastAsia="Times New Roman" w:cs="Arial"/>
                <w:b/>
                <w:color w:val="FFFFFF"/>
              </w:rPr>
              <w:t>Kleur</w:t>
            </w:r>
          </w:p>
        </w:tc>
        <w:tc>
          <w:tcPr>
            <w:tcW w:w="1430" w:type="dxa"/>
            <w:tcBorders>
              <w:top w:val="single" w:sz="4" w:space="0" w:color="FFFFFF"/>
              <w:left w:val="nil"/>
              <w:bottom w:val="single" w:sz="4" w:space="0" w:color="FFFFFF"/>
              <w:right w:val="single" w:sz="4" w:space="0" w:color="FFFFFF"/>
            </w:tcBorders>
            <w:shd w:val="clear" w:color="000000" w:fill="0070C0"/>
            <w:noWrap/>
            <w:vAlign w:val="bottom"/>
            <w:hideMark/>
          </w:tcPr>
          <w:p w:rsidR="00B732DB" w:rsidRPr="00CC71D6" w:rsidRDefault="00B732DB" w:rsidP="00401DFA">
            <w:pPr>
              <w:spacing w:line="240" w:lineRule="auto"/>
              <w:rPr>
                <w:rFonts w:eastAsia="Times New Roman" w:cs="Arial"/>
                <w:color w:val="FFFFFF"/>
              </w:rPr>
            </w:pPr>
            <w:r w:rsidRPr="00CC71D6">
              <w:rPr>
                <w:rFonts w:eastAsia="Times New Roman" w:cs="Arial"/>
                <w:color w:val="FFFFFF"/>
              </w:rPr>
              <w:t>Golflengte</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CC00CC"/>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Violet</w:t>
            </w:r>
          </w:p>
        </w:tc>
        <w:tc>
          <w:tcPr>
            <w:tcW w:w="1430" w:type="dxa"/>
            <w:tcBorders>
              <w:top w:val="nil"/>
              <w:left w:val="nil"/>
              <w:bottom w:val="single" w:sz="4" w:space="0" w:color="FFFFFF"/>
              <w:right w:val="single" w:sz="4" w:space="0" w:color="FFFFFF"/>
            </w:tcBorders>
            <w:shd w:val="clear" w:color="000000" w:fill="CC00CC"/>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380 - 450 nm</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00B0F0"/>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Blauw</w:t>
            </w:r>
          </w:p>
        </w:tc>
        <w:tc>
          <w:tcPr>
            <w:tcW w:w="1430" w:type="dxa"/>
            <w:tcBorders>
              <w:top w:val="nil"/>
              <w:left w:val="nil"/>
              <w:bottom w:val="single" w:sz="4" w:space="0" w:color="FFFFFF"/>
              <w:right w:val="single" w:sz="4" w:space="0" w:color="FFFFFF"/>
            </w:tcBorders>
            <w:shd w:val="clear" w:color="000000" w:fill="00B0F0"/>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450 - 495 nm</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92D050"/>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Groen</w:t>
            </w:r>
          </w:p>
        </w:tc>
        <w:tc>
          <w:tcPr>
            <w:tcW w:w="1430" w:type="dxa"/>
            <w:tcBorders>
              <w:top w:val="nil"/>
              <w:left w:val="nil"/>
              <w:bottom w:val="single" w:sz="4" w:space="0" w:color="FFFFFF"/>
              <w:right w:val="single" w:sz="4" w:space="0" w:color="FFFFFF"/>
            </w:tcBorders>
            <w:shd w:val="clear" w:color="000000" w:fill="92D050"/>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495 - 570 nm</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FFFF00"/>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Geel</w:t>
            </w:r>
          </w:p>
        </w:tc>
        <w:tc>
          <w:tcPr>
            <w:tcW w:w="1430" w:type="dxa"/>
            <w:tcBorders>
              <w:top w:val="nil"/>
              <w:left w:val="nil"/>
              <w:bottom w:val="single" w:sz="4" w:space="0" w:color="FFFFFF"/>
              <w:right w:val="single" w:sz="4" w:space="0" w:color="FFFFFF"/>
            </w:tcBorders>
            <w:shd w:val="clear" w:color="000000" w:fill="FFFF00"/>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570 - 590 nm</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FFC000"/>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Oranje</w:t>
            </w:r>
          </w:p>
        </w:tc>
        <w:tc>
          <w:tcPr>
            <w:tcW w:w="1430" w:type="dxa"/>
            <w:tcBorders>
              <w:top w:val="nil"/>
              <w:left w:val="nil"/>
              <w:bottom w:val="single" w:sz="4" w:space="0" w:color="FFFFFF"/>
              <w:right w:val="single" w:sz="4" w:space="0" w:color="FFFFFF"/>
            </w:tcBorders>
            <w:shd w:val="clear" w:color="000000" w:fill="FFC000"/>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590 - 620 nm</w:t>
            </w:r>
          </w:p>
        </w:tc>
      </w:tr>
      <w:tr w:rsidR="00B732DB" w:rsidRPr="00CC71D6" w:rsidTr="00401DFA">
        <w:trPr>
          <w:trHeight w:val="255"/>
        </w:trPr>
        <w:tc>
          <w:tcPr>
            <w:tcW w:w="774" w:type="dxa"/>
            <w:tcBorders>
              <w:top w:val="nil"/>
              <w:left w:val="single" w:sz="4" w:space="0" w:color="FFFFFF"/>
              <w:bottom w:val="single" w:sz="4" w:space="0" w:color="FFFFFF"/>
              <w:right w:val="single" w:sz="4" w:space="0" w:color="FFFFFF"/>
            </w:tcBorders>
            <w:shd w:val="clear" w:color="000000" w:fill="FF0000"/>
            <w:noWrap/>
            <w:vAlign w:val="bottom"/>
            <w:hideMark/>
          </w:tcPr>
          <w:p w:rsidR="00B732DB" w:rsidRPr="00CC71D6" w:rsidRDefault="00B732DB" w:rsidP="00401DFA">
            <w:pPr>
              <w:spacing w:line="240" w:lineRule="auto"/>
              <w:rPr>
                <w:rFonts w:eastAsia="Times New Roman" w:cs="Arial"/>
                <w:b/>
                <w:color w:val="000000"/>
              </w:rPr>
            </w:pPr>
            <w:r w:rsidRPr="00CC71D6">
              <w:rPr>
                <w:rFonts w:eastAsia="Times New Roman" w:cs="Arial"/>
                <w:b/>
                <w:color w:val="000000"/>
              </w:rPr>
              <w:t>Rood</w:t>
            </w:r>
          </w:p>
        </w:tc>
        <w:tc>
          <w:tcPr>
            <w:tcW w:w="1430" w:type="dxa"/>
            <w:tcBorders>
              <w:top w:val="nil"/>
              <w:left w:val="nil"/>
              <w:bottom w:val="single" w:sz="4" w:space="0" w:color="FFFFFF"/>
              <w:right w:val="single" w:sz="4" w:space="0" w:color="FFFFFF"/>
            </w:tcBorders>
            <w:shd w:val="clear" w:color="000000" w:fill="FF0000"/>
            <w:noWrap/>
            <w:vAlign w:val="bottom"/>
            <w:hideMark/>
          </w:tcPr>
          <w:p w:rsidR="00B732DB" w:rsidRPr="00CC71D6" w:rsidRDefault="00B732DB" w:rsidP="00401DFA">
            <w:pPr>
              <w:spacing w:line="240" w:lineRule="auto"/>
              <w:rPr>
                <w:rFonts w:eastAsia="Times New Roman" w:cs="Arial"/>
                <w:color w:val="000000"/>
              </w:rPr>
            </w:pPr>
            <w:r w:rsidRPr="00CC71D6">
              <w:rPr>
                <w:rFonts w:eastAsia="Times New Roman" w:cs="Arial"/>
                <w:color w:val="000000"/>
              </w:rPr>
              <w:t>620 - 780 nm</w:t>
            </w:r>
          </w:p>
        </w:tc>
      </w:tr>
    </w:tbl>
    <w:p w:rsidR="00B732DB" w:rsidRPr="00CC71D6" w:rsidRDefault="00B732DB" w:rsidP="00B732DB">
      <w:pPr>
        <w:jc w:val="center"/>
        <w:rPr>
          <w:rFonts w:cs="Arial"/>
          <w:color w:val="FF0000"/>
        </w:rPr>
      </w:pPr>
    </w:p>
    <w:p w:rsidR="00B732DB" w:rsidRDefault="00B732DB" w:rsidP="00B732DB">
      <w:pPr>
        <w:pStyle w:val="Lijstalinea"/>
        <w:ind w:left="0"/>
        <w:rPr>
          <w:rFonts w:cs="Arial"/>
        </w:rPr>
      </w:pPr>
      <w:r w:rsidRPr="00CC71D6">
        <w:rPr>
          <w:rFonts w:cs="Arial"/>
          <w:noProof/>
          <w:color w:val="FF0000"/>
        </w:rPr>
        <w:drawing>
          <wp:anchor distT="0" distB="0" distL="114300" distR="114300" simplePos="0" relativeHeight="251658240" behindDoc="0" locked="0" layoutInCell="1" allowOverlap="1">
            <wp:simplePos x="0" y="0"/>
            <wp:positionH relativeFrom="column">
              <wp:posOffset>83185</wp:posOffset>
            </wp:positionH>
            <wp:positionV relativeFrom="paragraph">
              <wp:posOffset>10795</wp:posOffset>
            </wp:positionV>
            <wp:extent cx="4219575" cy="199263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9575" cy="199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Default="00B732DB" w:rsidP="00B732DB">
      <w:pPr>
        <w:pStyle w:val="Lijstalinea"/>
        <w:ind w:left="0"/>
        <w:rPr>
          <w:rFonts w:cs="Arial"/>
        </w:rPr>
      </w:pPr>
    </w:p>
    <w:p w:rsidR="00B732DB" w:rsidRPr="00CC71D6" w:rsidRDefault="00B732DB" w:rsidP="00B732DB">
      <w:pPr>
        <w:pStyle w:val="Lijstalinea"/>
        <w:ind w:left="0"/>
        <w:rPr>
          <w:rFonts w:cs="Arial"/>
        </w:rPr>
      </w:pPr>
      <w:bookmarkStart w:id="0" w:name="_GoBack"/>
      <w:bookmarkEnd w:id="0"/>
      <w:r w:rsidRPr="00CC71D6">
        <w:rPr>
          <w:rFonts w:cs="Arial"/>
        </w:rPr>
        <w:t xml:space="preserve">Welke kleur(en) licht ziet hij respectievelijk in de aangegeven gebieden </w:t>
      </w:r>
      <m:oMath>
        <m:r>
          <m:rPr>
            <m:sty m:val="b"/>
          </m:rPr>
          <w:rPr>
            <w:rFonts w:ascii="Cambria Math" w:hAnsi="Cambria Math" w:cs="Arial"/>
          </w:rPr>
          <m:t>I</m:t>
        </m:r>
      </m:oMath>
      <w:r w:rsidRPr="00CC71D6">
        <w:rPr>
          <w:rFonts w:cs="Arial"/>
        </w:rPr>
        <w:t xml:space="preserve">, </w:t>
      </w:r>
      <m:oMath>
        <m:r>
          <m:rPr>
            <m:sty m:val="b"/>
          </m:rPr>
          <w:rPr>
            <w:rFonts w:ascii="Cambria Math" w:hAnsi="Cambria Math" w:cs="Arial"/>
          </w:rPr>
          <m:t>II</m:t>
        </m:r>
      </m:oMath>
      <w:r w:rsidRPr="00CC71D6">
        <w:rPr>
          <w:rFonts w:cs="Arial"/>
        </w:rPr>
        <w:t xml:space="preserve"> en </w:t>
      </w:r>
      <m:oMath>
        <m:r>
          <m:rPr>
            <m:sty m:val="b"/>
          </m:rPr>
          <w:rPr>
            <w:rFonts w:ascii="Cambria Math" w:hAnsi="Cambria Math" w:cs="Arial"/>
          </w:rPr>
          <m:t>III</m:t>
        </m:r>
      </m:oMath>
      <w:r w:rsidRPr="00CC71D6">
        <w:rPr>
          <w:rFonts w:cs="Arial"/>
        </w:rPr>
        <w:t>?</w:t>
      </w:r>
    </w:p>
    <w:p w:rsidR="00B732DB" w:rsidRPr="00CC71D6" w:rsidRDefault="00B732DB" w:rsidP="00B732DB">
      <w:pPr>
        <w:pStyle w:val="Lijstalinea"/>
        <w:ind w:left="1440"/>
        <w:rPr>
          <w:rFonts w:cs="Arial"/>
        </w:rPr>
      </w:pPr>
    </w:p>
    <w:p w:rsidR="00B732DB" w:rsidRPr="00CC71D6" w:rsidRDefault="00B732DB" w:rsidP="00B732DB">
      <w:pPr>
        <w:pStyle w:val="Lijstalinea"/>
        <w:numPr>
          <w:ilvl w:val="1"/>
          <w:numId w:val="1"/>
        </w:numPr>
        <w:spacing w:after="160" w:line="259" w:lineRule="auto"/>
        <w:ind w:left="605"/>
        <w:rPr>
          <w:rFonts w:cs="Arial"/>
        </w:rPr>
      </w:pPr>
      <w:r w:rsidRPr="00CC71D6">
        <w:rPr>
          <w:rFonts w:cs="Arial"/>
        </w:rPr>
        <w:t>Groen, geel, rood</w:t>
      </w:r>
    </w:p>
    <w:p w:rsidR="00B732DB" w:rsidRPr="00CC71D6" w:rsidRDefault="00B732DB" w:rsidP="00B732DB">
      <w:pPr>
        <w:pStyle w:val="Lijstalinea"/>
        <w:numPr>
          <w:ilvl w:val="1"/>
          <w:numId w:val="1"/>
        </w:numPr>
        <w:spacing w:after="160" w:line="259" w:lineRule="auto"/>
        <w:ind w:left="605"/>
        <w:rPr>
          <w:rFonts w:cs="Arial"/>
        </w:rPr>
      </w:pPr>
      <w:r w:rsidRPr="00CC71D6">
        <w:rPr>
          <w:rFonts w:cs="Arial"/>
        </w:rPr>
        <w:t>Groen, blauw, rood</w:t>
      </w:r>
    </w:p>
    <w:p w:rsidR="00B732DB" w:rsidRDefault="00B732DB" w:rsidP="00B732DB">
      <w:pPr>
        <w:pStyle w:val="Lijstalinea"/>
        <w:numPr>
          <w:ilvl w:val="1"/>
          <w:numId w:val="1"/>
        </w:numPr>
        <w:spacing w:after="160" w:line="259" w:lineRule="auto"/>
        <w:ind w:left="605"/>
        <w:rPr>
          <w:rFonts w:cs="Arial"/>
        </w:rPr>
      </w:pPr>
      <w:r w:rsidRPr="00CC71D6">
        <w:rPr>
          <w:rFonts w:cs="Arial"/>
        </w:rPr>
        <w:t>Alle drie de gebieden zijn blauw gekleurd</w:t>
      </w:r>
    </w:p>
    <w:p w:rsidR="00B732DB" w:rsidRDefault="00B732DB" w:rsidP="00B732DB">
      <w:pPr>
        <w:pStyle w:val="Lijstalinea"/>
        <w:numPr>
          <w:ilvl w:val="1"/>
          <w:numId w:val="1"/>
        </w:numPr>
        <w:spacing w:after="160" w:line="259" w:lineRule="auto"/>
        <w:ind w:left="605"/>
        <w:rPr>
          <w:rFonts w:cs="Arial"/>
        </w:rPr>
      </w:pPr>
      <w:r>
        <w:rPr>
          <w:rFonts w:cs="Arial"/>
        </w:rPr>
        <w:t xml:space="preserve">Alle </w:t>
      </w:r>
      <w:r w:rsidRPr="00B732DB">
        <w:rPr>
          <w:rFonts w:cs="Arial"/>
        </w:rPr>
        <w:t>drie de gebieden zijn geel gekleurd</w:t>
      </w:r>
    </w:p>
    <w:p w:rsidR="00B732DB" w:rsidRDefault="00B732DB" w:rsidP="00B732DB">
      <w:pPr>
        <w:spacing w:after="160" w:line="259" w:lineRule="auto"/>
        <w:rPr>
          <w:rFonts w:cs="Arial"/>
        </w:rPr>
      </w:pPr>
    </w:p>
    <w:p w:rsidR="00B732DB" w:rsidRDefault="00B732DB" w:rsidP="00B732DB">
      <w:pPr>
        <w:spacing w:after="160" w:line="259" w:lineRule="auto"/>
        <w:rPr>
          <w:rFonts w:cs="Arial"/>
        </w:rPr>
      </w:pPr>
    </w:p>
    <w:p w:rsidR="00B732DB" w:rsidRDefault="00B732DB">
      <w:pPr>
        <w:spacing w:after="200"/>
        <w:rPr>
          <w:rFonts w:cs="Arial"/>
        </w:rPr>
      </w:pPr>
      <w:r>
        <w:rPr>
          <w:rFonts w:cs="Arial"/>
        </w:rPr>
        <w:br w:type="page"/>
      </w:r>
    </w:p>
    <w:p w:rsidR="00B732DB" w:rsidRDefault="00B732DB">
      <w:pPr>
        <w:spacing w:after="200"/>
        <w:rPr>
          <w:rFonts w:cs="Arial"/>
        </w:rPr>
      </w:pPr>
      <w:r>
        <w:rPr>
          <w:rFonts w:cs="Arial"/>
        </w:rPr>
        <w:lastRenderedPageBreak/>
        <w:br w:type="page"/>
      </w:r>
    </w:p>
    <w:p w:rsidR="00B732DB" w:rsidRPr="00B732DB" w:rsidRDefault="00B732DB" w:rsidP="00B732DB">
      <w:pPr>
        <w:rPr>
          <w:rFonts w:cs="Arial"/>
          <w:color w:val="000000"/>
        </w:rPr>
      </w:pPr>
      <w:r w:rsidRPr="00B732DB">
        <w:rPr>
          <w:rFonts w:cs="Arial"/>
          <w:color w:val="000000"/>
        </w:rPr>
        <w:lastRenderedPageBreak/>
        <w:t>Antwoord: A</w:t>
      </w:r>
    </w:p>
    <w:p w:rsidR="00B732DB" w:rsidRPr="00B732DB" w:rsidRDefault="00B732DB" w:rsidP="00B732DB">
      <w:pPr>
        <w:rPr>
          <w:rFonts w:cs="Arial"/>
          <w:color w:val="000000"/>
        </w:rPr>
      </w:pPr>
      <w:r w:rsidRPr="00B732DB">
        <w:rPr>
          <w:rFonts w:cs="Arial"/>
          <w:color w:val="000000"/>
        </w:rPr>
        <w:t xml:space="preserve">Groen en rood licht combineren tot een gele kleur. In gebied </w:t>
      </w:r>
      <m:oMath>
        <m:r>
          <m:rPr>
            <m:sty m:val="b"/>
          </m:rPr>
          <w:rPr>
            <w:rFonts w:ascii="Cambria Math" w:hAnsi="Cambria Math" w:cs="Arial"/>
            <w:color w:val="000000"/>
          </w:rPr>
          <m:t>I</m:t>
        </m:r>
      </m:oMath>
      <w:r w:rsidRPr="00B732DB">
        <w:rPr>
          <w:rFonts w:cs="Arial"/>
          <w:color w:val="000000"/>
        </w:rPr>
        <w:t xml:space="preserve"> is de rode lamp niet te zien en datzelfde geldt voor de groene lamp in gebied </w:t>
      </w:r>
      <m:oMath>
        <m:r>
          <m:rPr>
            <m:sty m:val="b"/>
          </m:rPr>
          <w:rPr>
            <w:rFonts w:ascii="Cambria Math" w:hAnsi="Cambria Math" w:cs="Arial"/>
            <w:color w:val="000000"/>
          </w:rPr>
          <m:t>III</m:t>
        </m:r>
      </m:oMath>
      <w:r w:rsidRPr="00B732DB">
        <w:rPr>
          <w:rFonts w:cs="Arial"/>
          <w:color w:val="000000"/>
        </w:rPr>
        <w:t xml:space="preserve">. In gebied </w:t>
      </w:r>
      <m:oMath>
        <m:r>
          <m:rPr>
            <m:sty m:val="b"/>
          </m:rPr>
          <w:rPr>
            <w:rFonts w:ascii="Cambria Math" w:hAnsi="Cambria Math" w:cs="Arial"/>
            <w:color w:val="000000"/>
          </w:rPr>
          <m:t>II</m:t>
        </m:r>
      </m:oMath>
      <w:r w:rsidRPr="00B732DB">
        <w:rPr>
          <w:rFonts w:cs="Arial"/>
          <w:color w:val="000000"/>
        </w:rPr>
        <w:t xml:space="preserve"> zijn beide lampen te zien en hier ziet Mark dus een gele kleur.</w:t>
      </w:r>
    </w:p>
    <w:p w:rsidR="00B732DB" w:rsidRPr="00B732DB" w:rsidRDefault="00B732DB" w:rsidP="00B732DB">
      <w:pPr>
        <w:spacing w:after="160" w:line="259" w:lineRule="auto"/>
        <w:rPr>
          <w:rFonts w:cs="Arial"/>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95pt;margin-top:41.75pt;width:295.45pt;height:179.3pt;z-index:251660288;mso-position-horizontal-relative:text;mso-position-vertical-relative:text;mso-width-relative:page;mso-height-relative:page">
            <v:imagedata r:id="rId6" o:title=""/>
            <w10:wrap type="square"/>
          </v:shape>
          <o:OLEObject Type="Embed" ProgID="PBrush" ShapeID="_x0000_s1026" DrawAspect="Content" ObjectID="_1590838402" r:id="rId7"/>
        </w:object>
      </w:r>
    </w:p>
    <w:sectPr w:rsidR="00B732DB" w:rsidRPr="00B73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1DD0"/>
    <w:multiLevelType w:val="hybridMultilevel"/>
    <w:tmpl w:val="CACA2FFE"/>
    <w:lvl w:ilvl="0" w:tplc="9A80A0D4">
      <w:start w:val="1"/>
      <w:numFmt w:val="decimal"/>
      <w:lvlText w:val="%1."/>
      <w:lvlJc w:val="left"/>
      <w:pPr>
        <w:ind w:left="720" w:hanging="360"/>
      </w:pPr>
      <w:rPr>
        <w:color w:val="auto"/>
      </w:rPr>
    </w:lvl>
    <w:lvl w:ilvl="1" w:tplc="04130015">
      <w:start w:val="1"/>
      <w:numFmt w:val="upperLetter"/>
      <w:lvlText w:val="%2."/>
      <w:lvlJc w:val="left"/>
      <w:pPr>
        <w:ind w:left="1440" w:hanging="360"/>
      </w:pPr>
    </w:lvl>
    <w:lvl w:ilvl="2" w:tplc="EBCEDE96">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DB"/>
    <w:rsid w:val="007F18EE"/>
    <w:rsid w:val="00B73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87291"/>
  <w15:chartTrackingRefBased/>
  <w15:docId w15:val="{CBD9E1AE-3A37-4C38-AD1A-0F6331F5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2DB"/>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1</cp:revision>
  <dcterms:created xsi:type="dcterms:W3CDTF">2018-06-18T12:41:00Z</dcterms:created>
  <dcterms:modified xsi:type="dcterms:W3CDTF">2018-06-18T12:45:00Z</dcterms:modified>
</cp:coreProperties>
</file>