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D7" w:rsidRDefault="00E168D7" w:rsidP="00E168D7">
      <w:r w:rsidRPr="000D5B1B">
        <w:t xml:space="preserve">In de onderstaande figuur zie je een lichtstraal  die door de lucht gaat en loodrecht invalt op de zijde </w:t>
      </w:r>
      <w:r w:rsidRPr="000D5B1B">
        <w:rPr>
          <w:i/>
          <w:iCs/>
        </w:rPr>
        <w:t>a</w:t>
      </w:r>
      <w:r w:rsidRPr="000D5B1B">
        <w:t xml:space="preserve"> van een gelijk</w:t>
      </w:r>
      <w:r>
        <w:t>zijdige</w:t>
      </w:r>
      <w:r w:rsidRPr="000D5B1B">
        <w:t xml:space="preserve"> prisma met brekingsindex 1,5. Door welke zijde zal de lichtstraal uittreden en wat is de hoek </w:t>
      </w:r>
      <w:r w:rsidRPr="000D5B1B">
        <w:rPr>
          <w:i/>
        </w:rPr>
        <w:t>θ</w:t>
      </w:r>
      <w:r w:rsidRPr="000D5B1B">
        <w:t xml:space="preserve"> tussen de invallende en de uittredende lichtstraal: </w:t>
      </w:r>
    </w:p>
    <w:p w:rsidR="00E168D7" w:rsidRDefault="00E168D7" w:rsidP="00E168D7"/>
    <w:p w:rsidR="00E168D7" w:rsidRDefault="00E168D7" w:rsidP="00E168D7">
      <w:r>
        <w:rPr>
          <w:noProof/>
        </w:rPr>
        <w:drawing>
          <wp:anchor distT="0" distB="0" distL="114300" distR="114300" simplePos="0" relativeHeight="251659264" behindDoc="0" locked="0" layoutInCell="1" allowOverlap="1" wp14:anchorId="42B1D161" wp14:editId="3ABA498F">
            <wp:simplePos x="0" y="0"/>
            <wp:positionH relativeFrom="column">
              <wp:posOffset>1014095</wp:posOffset>
            </wp:positionH>
            <wp:positionV relativeFrom="paragraph">
              <wp:posOffset>75565</wp:posOffset>
            </wp:positionV>
            <wp:extent cx="3209925" cy="1809750"/>
            <wp:effectExtent l="0" t="0" r="952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Default="00E168D7" w:rsidP="00E168D7"/>
    <w:p w:rsidR="00E168D7" w:rsidRPr="000D5B1B" w:rsidRDefault="00E168D7" w:rsidP="00E168D7"/>
    <w:tbl>
      <w:tblPr>
        <w:tblStyle w:val="Tabelraster"/>
        <w:tblpPr w:leftFromText="180" w:rightFromText="180" w:vertAnchor="text" w:horzAnchor="margin" w:tblpXSpec="center" w:tblpY="23"/>
        <w:tblW w:w="0" w:type="auto"/>
        <w:tblLook w:val="01E0" w:firstRow="1" w:lastRow="1" w:firstColumn="1" w:lastColumn="1" w:noHBand="0" w:noVBand="0"/>
      </w:tblPr>
      <w:tblGrid>
        <w:gridCol w:w="740"/>
        <w:gridCol w:w="2068"/>
        <w:gridCol w:w="2160"/>
      </w:tblGrid>
      <w:tr w:rsidR="00E168D7" w:rsidRPr="000D5B1B" w:rsidTr="008A6096">
        <w:trPr>
          <w:trHeight w:val="242"/>
        </w:trPr>
        <w:tc>
          <w:tcPr>
            <w:tcW w:w="740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</w:p>
        </w:tc>
        <w:tc>
          <w:tcPr>
            <w:tcW w:w="2068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rFonts w:eastAsia="MingLiU"/>
                <w:color w:val="000000"/>
                <w:spacing w:val="25"/>
              </w:rPr>
              <w:t>Uit</w:t>
            </w:r>
            <w:r>
              <w:rPr>
                <w:rFonts w:eastAsia="MingLiU"/>
                <w:color w:val="000000"/>
                <w:spacing w:val="25"/>
              </w:rPr>
              <w:t>t</w:t>
            </w:r>
            <w:r w:rsidRPr="000D5B1B">
              <w:rPr>
                <w:rFonts w:eastAsia="MingLiU"/>
                <w:color w:val="000000"/>
                <w:spacing w:val="25"/>
              </w:rPr>
              <w:t>redende zijde</w:t>
            </w:r>
          </w:p>
        </w:tc>
        <w:tc>
          <w:tcPr>
            <w:tcW w:w="2160" w:type="dxa"/>
            <w:vAlign w:val="center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i/>
              </w:rPr>
              <w:t>θ</w:t>
            </w:r>
          </w:p>
        </w:tc>
      </w:tr>
      <w:tr w:rsidR="00E168D7" w:rsidRPr="000D5B1B" w:rsidTr="008A6096">
        <w:trPr>
          <w:trHeight w:val="192"/>
        </w:trPr>
        <w:tc>
          <w:tcPr>
            <w:tcW w:w="740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rFonts w:eastAsia="MingLiU"/>
                <w:color w:val="000000"/>
                <w:spacing w:val="25"/>
              </w:rPr>
              <w:t>(A)</w:t>
            </w:r>
          </w:p>
        </w:tc>
        <w:tc>
          <w:tcPr>
            <w:tcW w:w="2068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i/>
                <w:iCs/>
                <w:color w:val="000000"/>
                <w:spacing w:val="25"/>
              </w:rPr>
            </w:pPr>
            <w:r w:rsidRPr="000D5B1B">
              <w:rPr>
                <w:rFonts w:eastAsia="MingLiU"/>
                <w:i/>
                <w:iCs/>
                <w:color w:val="000000"/>
                <w:spacing w:val="25"/>
              </w:rPr>
              <w:t>b</w:t>
            </w:r>
          </w:p>
        </w:tc>
        <w:tc>
          <w:tcPr>
            <w:tcW w:w="2160" w:type="dxa"/>
            <w:vAlign w:val="center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100" w:beforeAutospacing="1" w:after="100" w:afterAutospacing="1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i/>
              </w:rPr>
              <w:t>θ</w:t>
            </w:r>
            <w:r w:rsidRPr="000D5B1B">
              <w:t xml:space="preserve"> </w:t>
            </w:r>
            <w:r w:rsidRPr="000D5B1B">
              <w:rPr>
                <w:color w:val="000000"/>
                <w:spacing w:val="25"/>
              </w:rPr>
              <w:t>=</w:t>
            </w:r>
            <w:r>
              <w:rPr>
                <w:noProof/>
                <w:color w:val="000000"/>
                <w:spacing w:val="25"/>
                <w:position w:val="-6"/>
              </w:rPr>
              <w:drawing>
                <wp:inline distT="0" distB="0" distL="0" distR="0">
                  <wp:extent cx="238125" cy="20002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D7" w:rsidRPr="000D5B1B" w:rsidTr="008A6096">
        <w:trPr>
          <w:trHeight w:val="134"/>
        </w:trPr>
        <w:tc>
          <w:tcPr>
            <w:tcW w:w="740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rFonts w:eastAsia="MingLiU"/>
                <w:color w:val="000000"/>
                <w:spacing w:val="25"/>
              </w:rPr>
              <w:t>(B)</w:t>
            </w:r>
          </w:p>
        </w:tc>
        <w:tc>
          <w:tcPr>
            <w:tcW w:w="2068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i/>
                <w:iCs/>
                <w:color w:val="000000"/>
                <w:spacing w:val="25"/>
              </w:rPr>
            </w:pPr>
            <w:r>
              <w:rPr>
                <w:rFonts w:eastAsia="MingLiU"/>
                <w:i/>
                <w:iCs/>
                <w:color w:val="000000"/>
                <w:spacing w:val="25"/>
              </w:rPr>
              <w:t>b</w:t>
            </w:r>
          </w:p>
        </w:tc>
        <w:tc>
          <w:tcPr>
            <w:tcW w:w="2160" w:type="dxa"/>
            <w:vAlign w:val="center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100" w:beforeAutospacing="1" w:after="100" w:afterAutospacing="1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i/>
                <w:color w:val="000000"/>
                <w:spacing w:val="25"/>
              </w:rPr>
              <w:t>θ</w:t>
            </w:r>
            <w:r w:rsidRPr="000D5B1B">
              <w:rPr>
                <w:color w:val="000000"/>
                <w:spacing w:val="25"/>
              </w:rPr>
              <w:t xml:space="preserve"> =</w:t>
            </w:r>
            <w:r>
              <w:rPr>
                <w:noProof/>
                <w:color w:val="000000"/>
                <w:spacing w:val="25"/>
                <w:position w:val="-6"/>
              </w:rPr>
              <w:drawing>
                <wp:inline distT="0" distB="0" distL="0" distR="0">
                  <wp:extent cx="238125" cy="2000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D7" w:rsidRPr="000D5B1B" w:rsidTr="008A6096">
        <w:trPr>
          <w:trHeight w:val="274"/>
        </w:trPr>
        <w:tc>
          <w:tcPr>
            <w:tcW w:w="740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rFonts w:eastAsia="MingLiU"/>
                <w:color w:val="000000"/>
                <w:spacing w:val="25"/>
              </w:rPr>
              <w:t>(C)</w:t>
            </w:r>
          </w:p>
        </w:tc>
        <w:tc>
          <w:tcPr>
            <w:tcW w:w="2068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i/>
                <w:iCs/>
                <w:color w:val="000000"/>
                <w:spacing w:val="25"/>
              </w:rPr>
            </w:pPr>
            <w:r>
              <w:rPr>
                <w:rFonts w:eastAsia="MingLiU"/>
                <w:i/>
                <w:iCs/>
                <w:color w:val="000000"/>
                <w:spacing w:val="25"/>
              </w:rPr>
              <w:t>c</w:t>
            </w:r>
          </w:p>
        </w:tc>
        <w:tc>
          <w:tcPr>
            <w:tcW w:w="2160" w:type="dxa"/>
            <w:vAlign w:val="center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100" w:beforeAutospacing="1" w:after="100" w:afterAutospacing="1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i/>
                <w:color w:val="000000"/>
                <w:spacing w:val="25"/>
              </w:rPr>
              <w:t>θ</w:t>
            </w:r>
            <w:r w:rsidRPr="000D5B1B">
              <w:rPr>
                <w:color w:val="000000"/>
                <w:spacing w:val="25"/>
              </w:rPr>
              <w:t xml:space="preserve"> =</w:t>
            </w:r>
            <w:r>
              <w:rPr>
                <w:noProof/>
                <w:color w:val="000000"/>
                <w:spacing w:val="25"/>
                <w:position w:val="-6"/>
              </w:rPr>
              <w:drawing>
                <wp:inline distT="0" distB="0" distL="0" distR="0">
                  <wp:extent cx="238125" cy="20002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D7" w:rsidRPr="000D5B1B" w:rsidTr="008A6096">
        <w:trPr>
          <w:trHeight w:val="147"/>
        </w:trPr>
        <w:tc>
          <w:tcPr>
            <w:tcW w:w="740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rFonts w:eastAsia="MingLiU"/>
                <w:color w:val="000000"/>
                <w:spacing w:val="25"/>
              </w:rPr>
              <w:t>(D)</w:t>
            </w:r>
          </w:p>
        </w:tc>
        <w:tc>
          <w:tcPr>
            <w:tcW w:w="2068" w:type="dxa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48" w:line="360" w:lineRule="auto"/>
              <w:rPr>
                <w:rFonts w:eastAsia="MingLiU"/>
                <w:i/>
                <w:iCs/>
                <w:color w:val="000000"/>
                <w:spacing w:val="25"/>
              </w:rPr>
            </w:pPr>
            <w:r>
              <w:rPr>
                <w:rFonts w:eastAsia="MingLiU"/>
                <w:i/>
                <w:iCs/>
                <w:color w:val="000000"/>
                <w:spacing w:val="25"/>
              </w:rPr>
              <w:t>c</w:t>
            </w:r>
          </w:p>
        </w:tc>
        <w:tc>
          <w:tcPr>
            <w:tcW w:w="2160" w:type="dxa"/>
            <w:vAlign w:val="center"/>
          </w:tcPr>
          <w:p w:rsidR="00E168D7" w:rsidRPr="000D5B1B" w:rsidRDefault="00E168D7" w:rsidP="008A6096">
            <w:pPr>
              <w:tabs>
                <w:tab w:val="left" w:pos="350"/>
              </w:tabs>
              <w:adjustRightInd w:val="0"/>
              <w:spacing w:before="100" w:beforeAutospacing="1" w:after="100" w:afterAutospacing="1" w:line="360" w:lineRule="auto"/>
              <w:rPr>
                <w:rFonts w:eastAsia="MingLiU"/>
                <w:color w:val="000000"/>
                <w:spacing w:val="25"/>
              </w:rPr>
            </w:pPr>
            <w:r w:rsidRPr="000D5B1B">
              <w:rPr>
                <w:i/>
                <w:color w:val="000000"/>
                <w:spacing w:val="25"/>
              </w:rPr>
              <w:t>θ</w:t>
            </w:r>
            <w:r w:rsidRPr="000D5B1B">
              <w:rPr>
                <w:color w:val="000000"/>
                <w:spacing w:val="25"/>
              </w:rPr>
              <w:t xml:space="preserve"> =</w:t>
            </w:r>
            <w:r>
              <w:rPr>
                <w:noProof/>
                <w:color w:val="000000"/>
                <w:spacing w:val="25"/>
                <w:position w:val="-6"/>
              </w:rPr>
              <w:drawing>
                <wp:inline distT="0" distB="0" distL="0" distR="0">
                  <wp:extent cx="238125" cy="2000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8D7" w:rsidRPr="000D5B1B" w:rsidRDefault="00E168D7" w:rsidP="00E168D7">
      <w:pPr>
        <w:spacing w:line="360" w:lineRule="auto"/>
      </w:pPr>
    </w:p>
    <w:p w:rsidR="00E168D7" w:rsidRPr="000D5B1B" w:rsidRDefault="00E168D7" w:rsidP="00E168D7">
      <w:pPr>
        <w:spacing w:line="360" w:lineRule="auto"/>
      </w:pPr>
    </w:p>
    <w:p w:rsidR="00E168D7" w:rsidRPr="000D5B1B" w:rsidRDefault="00E168D7" w:rsidP="00E168D7">
      <w:pPr>
        <w:spacing w:line="360" w:lineRule="auto"/>
      </w:pPr>
    </w:p>
    <w:p w:rsidR="00E168D7" w:rsidRDefault="00E168D7" w:rsidP="00E168D7">
      <w:pPr>
        <w:spacing w:line="360" w:lineRule="auto"/>
        <w:ind w:firstLineChars="200" w:firstLine="440"/>
      </w:pPr>
    </w:p>
    <w:p w:rsidR="00E168D7" w:rsidRPr="000D5B1B" w:rsidRDefault="00E168D7" w:rsidP="00E168D7">
      <w:pPr>
        <w:spacing w:line="360" w:lineRule="auto"/>
        <w:ind w:firstLineChars="200" w:firstLine="440"/>
      </w:pPr>
    </w:p>
    <w:p w:rsidR="00E168D7" w:rsidRPr="000D5B1B" w:rsidRDefault="00E168D7" w:rsidP="00E168D7">
      <w:pPr>
        <w:spacing w:beforeLines="10" w:before="24" w:line="360" w:lineRule="auto"/>
        <w:rPr>
          <w:color w:val="FF0000"/>
        </w:rPr>
      </w:pPr>
    </w:p>
    <w:p w:rsidR="00E168D7" w:rsidRDefault="00E168D7" w:rsidP="00E168D7">
      <w:pPr>
        <w:spacing w:line="360" w:lineRule="auto"/>
        <w:ind w:leftChars="150" w:left="330"/>
        <w:rPr>
          <w:b/>
        </w:rPr>
      </w:pPr>
    </w:p>
    <w:p w:rsidR="00E168D7" w:rsidRDefault="00E168D7">
      <w:pPr>
        <w:spacing w:after="160" w:line="259" w:lineRule="auto"/>
      </w:pPr>
      <w:r>
        <w:br w:type="page"/>
      </w:r>
    </w:p>
    <w:p w:rsidR="00E168D7" w:rsidRDefault="00E168D7">
      <w:pPr>
        <w:spacing w:after="160" w:line="259" w:lineRule="auto"/>
      </w:pPr>
      <w:r>
        <w:lastRenderedPageBreak/>
        <w:br w:type="page"/>
      </w:r>
    </w:p>
    <w:p w:rsidR="00E168D7" w:rsidRDefault="00E168D7" w:rsidP="00E168D7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E168D7" w:rsidRDefault="00E168D7" w:rsidP="00E168D7">
      <w:pPr>
        <w:rPr>
          <w:rFonts w:cs="Arial"/>
        </w:rPr>
      </w:pPr>
    </w:p>
    <w:p w:rsidR="00E168D7" w:rsidRDefault="00E168D7" w:rsidP="00E168D7">
      <w:pPr>
        <w:rPr>
          <w:rFonts w:cs="Arial"/>
        </w:rPr>
      </w:pPr>
      <w:r>
        <w:rPr>
          <w:rFonts w:cs="Arial"/>
        </w:rPr>
        <w:t xml:space="preserve">-Eerst grenshoek berekenen: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g</m:t>
            </m:r>
          </m:e>
        </m:func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1,5</m:t>
            </m:r>
          </m:den>
        </m:f>
        <m:r>
          <w:rPr>
            <w:rFonts w:ascii="Cambria Math" w:hAnsi="Cambria Math" w:cs="Arial"/>
          </w:rPr>
          <m:t xml:space="preserve"> →g=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42</m:t>
            </m:r>
          </m:e>
          <m:sup>
            <m:r>
              <w:rPr>
                <w:rFonts w:ascii="Cambria Math" w:hAnsi="Cambria Math" w:cs="Arial"/>
              </w:rPr>
              <m:t>0</m:t>
            </m:r>
          </m:sup>
        </m:sSup>
      </m:oMath>
    </w:p>
    <w:p w:rsidR="00E168D7" w:rsidRDefault="00E168D7" w:rsidP="00E168D7">
      <w:pPr>
        <w:rPr>
          <w:rFonts w:cs="Arial"/>
        </w:rPr>
      </w:pPr>
    </w:p>
    <w:p w:rsidR="00E168D7" w:rsidRDefault="00E168D7" w:rsidP="00E168D7">
      <w:pPr>
        <w:rPr>
          <w:rFonts w:cs="Arial"/>
        </w:rPr>
      </w:pPr>
      <w:r>
        <w:rPr>
          <w:rFonts w:cs="Arial"/>
        </w:rPr>
        <w:t>Zie figuur:</w:t>
      </w:r>
    </w:p>
    <w:p w:rsidR="00E168D7" w:rsidRDefault="00E168D7" w:rsidP="00E168D7">
      <w:pPr>
        <w:rPr>
          <w:rFonts w:cs="Arial"/>
        </w:rPr>
      </w:pPr>
      <w:r>
        <w:rPr>
          <w:rFonts w:cs="Arial"/>
        </w:rPr>
        <w:t xml:space="preserve">-Dus bij zijde c volledige reflectie </w:t>
      </w:r>
    </w:p>
    <w:p w:rsidR="00E168D7" w:rsidRDefault="00E168D7" w:rsidP="00E168D7">
      <w:pPr>
        <w:rPr>
          <w:rFonts w:cs="Arial"/>
        </w:rPr>
      </w:pPr>
      <w:r>
        <w:rPr>
          <w:rFonts w:cs="Arial"/>
        </w:rPr>
        <w:t>-En loodrechte uittreding bij zijde b</w:t>
      </w:r>
    </w:p>
    <w:p w:rsidR="00E168D7" w:rsidRPr="00A13AFD" w:rsidRDefault="00E168D7" w:rsidP="00E168D7">
      <w:pPr>
        <w:rPr>
          <w:rFonts w:cs="Arial"/>
          <w:vertAlign w:val="superscript"/>
        </w:rPr>
      </w:pPr>
      <w:r>
        <w:rPr>
          <w:rFonts w:cs="Arial"/>
        </w:rPr>
        <w:t>-Hoek θ tussen invallende en uittredende lichtstraal is 60</w:t>
      </w:r>
      <w:r>
        <w:rPr>
          <w:rFonts w:cs="Arial"/>
          <w:vertAlign w:val="superscript"/>
        </w:rPr>
        <w:t>0</w:t>
      </w:r>
    </w:p>
    <w:p w:rsidR="00E168D7" w:rsidRDefault="00E168D7" w:rsidP="00E168D7">
      <w:pPr>
        <w:rPr>
          <w:rFonts w:cs="Arial"/>
        </w:rPr>
      </w:pPr>
    </w:p>
    <w:p w:rsidR="000F60FE" w:rsidRDefault="00E168D7"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5E462A14" wp14:editId="44C933D5">
            <wp:simplePos x="0" y="0"/>
            <wp:positionH relativeFrom="column">
              <wp:posOffset>976630</wp:posOffset>
            </wp:positionH>
            <wp:positionV relativeFrom="paragraph">
              <wp:posOffset>224155</wp:posOffset>
            </wp:positionV>
            <wp:extent cx="3067050" cy="2262505"/>
            <wp:effectExtent l="0" t="0" r="0" b="444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is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D7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168D7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A59"/>
  <w15:chartTrackingRefBased/>
  <w15:docId w15:val="{4222FD52-1CDE-43A3-AC9B-1DD6EA6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168D7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1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2016-11-30T20:17:00Z</dcterms:created>
  <dcterms:modified xsi:type="dcterms:W3CDTF">2016-11-30T20:19:00Z</dcterms:modified>
</cp:coreProperties>
</file>