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E8" w:rsidRPr="00D061E8" w:rsidRDefault="00D061E8" w:rsidP="00D061E8">
      <w:pPr>
        <w:rPr>
          <w:rFonts w:ascii="Arial" w:hAnsi="Arial" w:cs="Arial"/>
        </w:rPr>
      </w:pPr>
      <w:r w:rsidRPr="00D061E8">
        <w:rPr>
          <w:rFonts w:ascii="Arial" w:eastAsia="HY그래픽" w:hAnsi="Arial" w:cs="Arial"/>
        </w:rPr>
        <w:t xml:space="preserve">Neem aan dat een blok op een lang hellend vlak ligt. De hellingshoek wordt gelijkmatig vergroot van </w:t>
      </w:r>
      <w:r w:rsidRPr="00D061E8">
        <w:rPr>
          <w:rFonts w:ascii="Arial" w:hAnsi="Arial" w:cs="Arial"/>
        </w:rPr>
        <w:t xml:space="preserve">0 ° </w:t>
      </w:r>
      <w:proofErr w:type="spellStart"/>
      <w:r w:rsidRPr="00D061E8">
        <w:rPr>
          <w:rFonts w:ascii="Arial" w:hAnsi="Arial" w:cs="Arial"/>
        </w:rPr>
        <w:t>to</w:t>
      </w:r>
      <w:proofErr w:type="spellEnd"/>
      <w:r w:rsidRPr="00D061E8">
        <w:rPr>
          <w:rFonts w:ascii="Arial" w:hAnsi="Arial" w:cs="Arial"/>
        </w:rPr>
        <w:t xml:space="preserve"> 90 °. Welke grafiek geeft de grootte van de wrijvingskracht, die op het blok werkt, als functie van de hellingshoek het beste weer. Hierbij geldt dat de statische wrijving</w:t>
      </w:r>
      <w:r w:rsidRPr="00D061E8">
        <w:rPr>
          <w:rFonts w:ascii="Arial" w:eastAsia="Malgun Gothic" w:hAnsi="Arial" w:cs="Arial"/>
          <w:lang w:eastAsia="ko-KR"/>
        </w:rPr>
        <w:t xml:space="preserve">scoëfficiënt </w:t>
      </w:r>
      <w:r w:rsidRPr="00D061E8">
        <w:rPr>
          <w:rFonts w:ascii="Arial" w:hAnsi="Arial" w:cs="Arial"/>
        </w:rPr>
        <w:t>groter is dan de wrijving</w:t>
      </w:r>
      <w:r w:rsidRPr="00D061E8">
        <w:rPr>
          <w:rFonts w:ascii="Arial" w:eastAsia="Malgun Gothic" w:hAnsi="Arial" w:cs="Arial"/>
          <w:lang w:eastAsia="ko-KR"/>
        </w:rPr>
        <w:t>scoëfficiënt</w:t>
      </w:r>
      <w:r w:rsidRPr="00D061E8">
        <w:rPr>
          <w:rFonts w:ascii="Arial" w:hAnsi="Arial" w:cs="Arial"/>
        </w:rPr>
        <w:t xml:space="preserve"> bij het blok in beweging. </w:t>
      </w:r>
      <w:r w:rsidRPr="00D061E8">
        <w:rPr>
          <w:rFonts w:ascii="Arial" w:hAnsi="Arial" w:cs="Arial"/>
        </w:rPr>
        <w:br/>
        <w:t xml:space="preserve">(Friction force= wrijvingskracht; </w:t>
      </w:r>
      <w:proofErr w:type="spellStart"/>
      <w:r w:rsidRPr="00D061E8">
        <w:rPr>
          <w:rFonts w:ascii="Arial" w:hAnsi="Arial" w:cs="Arial"/>
        </w:rPr>
        <w:t>angle</w:t>
      </w:r>
      <w:proofErr w:type="spellEnd"/>
      <w:r w:rsidRPr="00D061E8">
        <w:rPr>
          <w:rFonts w:ascii="Arial" w:hAnsi="Arial" w:cs="Arial"/>
        </w:rPr>
        <w:t xml:space="preserve"> = hoek)</w:t>
      </w:r>
    </w:p>
    <w:p w:rsidR="00D061E8" w:rsidRDefault="00D061E8" w:rsidP="00D061E8">
      <w:r w:rsidRPr="00337695">
        <w:rPr>
          <w:rFonts w:ascii="Batang" w:eastAsia="Batang" w:hAnsi="Batang" w:cs="Gulim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96ED4F" wp14:editId="781ADF57">
            <wp:simplePos x="0" y="0"/>
            <wp:positionH relativeFrom="column">
              <wp:posOffset>-4445</wp:posOffset>
            </wp:positionH>
            <wp:positionV relativeFrom="paragraph">
              <wp:posOffset>351155</wp:posOffset>
            </wp:positionV>
            <wp:extent cx="5676900" cy="544957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44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1E8" w:rsidRPr="00337695" w:rsidRDefault="00D061E8" w:rsidP="00D061E8">
      <w:pPr>
        <w:rPr>
          <w:rFonts w:eastAsia="Malgun Gothic"/>
          <w:i/>
          <w:lang w:eastAsia="ko-KR"/>
        </w:rPr>
      </w:pPr>
    </w:p>
    <w:p w:rsidR="00D061E8" w:rsidRDefault="00D061E8">
      <w:r>
        <w:br w:type="page"/>
      </w:r>
    </w:p>
    <w:p w:rsidR="00D061E8" w:rsidRDefault="00D061E8">
      <w:r>
        <w:lastRenderedPageBreak/>
        <w:br w:type="page"/>
      </w:r>
    </w:p>
    <w:p w:rsidR="00D061E8" w:rsidRPr="00D061E8" w:rsidRDefault="00D061E8" w:rsidP="00D061E8">
      <w:pPr>
        <w:ind w:left="-9"/>
        <w:rPr>
          <w:rFonts w:ascii="Arial" w:hAnsi="Arial" w:cs="Arial"/>
        </w:rPr>
      </w:pPr>
      <w:r w:rsidRPr="00D061E8">
        <w:rPr>
          <w:rFonts w:ascii="Arial" w:hAnsi="Arial" w:cs="Arial"/>
        </w:rPr>
        <w:lastRenderedPageBreak/>
        <w:t>Antwoord: B</w:t>
      </w:r>
      <w:bookmarkStart w:id="0" w:name="_GoBack"/>
      <w:bookmarkEnd w:id="0"/>
    </w:p>
    <w:p w:rsidR="00D061E8" w:rsidRPr="00D061E8" w:rsidRDefault="00D061E8" w:rsidP="00D061E8">
      <w:pPr>
        <w:ind w:left="-9"/>
        <w:rPr>
          <w:rFonts w:ascii="Arial" w:hAnsi="Arial" w:cs="Arial"/>
        </w:rPr>
      </w:pPr>
    </w:p>
    <w:p w:rsidR="00D061E8" w:rsidRPr="00D061E8" w:rsidRDefault="00D061E8" w:rsidP="00D061E8">
      <w:pPr>
        <w:ind w:left="-9"/>
        <w:rPr>
          <w:rFonts w:ascii="Arial" w:hAnsi="Arial" w:cs="Arial"/>
        </w:rPr>
      </w:pPr>
      <w:r w:rsidRPr="00D061E8">
        <w:rPr>
          <w:rFonts w:ascii="Arial" w:hAnsi="Arial" w:cs="Arial"/>
        </w:rPr>
        <w:t xml:space="preserve">Voordat het blok begint te bewegen is de wrijvingskracht gelijk aan de neerwaartse kracht langs het vlak: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z∕∕</m:t>
            </m:r>
          </m:sub>
        </m:sSub>
        <m:r>
          <w:rPr>
            <w:rFonts w:ascii="Cambria Math" w:hAnsi="Cambria Math" w:cs="Arial"/>
          </w:rPr>
          <m:t>=mgsin(α)</m:t>
        </m:r>
      </m:oMath>
    </w:p>
    <w:p w:rsidR="00D061E8" w:rsidRPr="00D061E8" w:rsidRDefault="00D061E8" w:rsidP="00D061E8">
      <w:pPr>
        <w:ind w:left="-9"/>
        <w:rPr>
          <w:rFonts w:ascii="Arial" w:hAnsi="Arial" w:cs="Arial"/>
        </w:rPr>
      </w:pPr>
    </w:p>
    <w:p w:rsidR="00D061E8" w:rsidRPr="00D061E8" w:rsidRDefault="00D061E8" w:rsidP="00D061E8">
      <w:pPr>
        <w:ind w:left="-9"/>
        <w:rPr>
          <w:rFonts w:ascii="Arial" w:hAnsi="Arial" w:cs="Arial"/>
        </w:rPr>
      </w:pPr>
      <w:r w:rsidRPr="00D061E8">
        <w:rPr>
          <w:rFonts w:ascii="Arial" w:hAnsi="Arial" w:cs="Arial"/>
        </w:rPr>
        <w:t xml:space="preserve">Nadat het blok is gaan bewegen, is de wrijvingskracht evenredig met de normaalkracht: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=fmgcos(α)</m:t>
        </m:r>
      </m:oMath>
      <w:r w:rsidRPr="00D061E8">
        <w:rPr>
          <w:rFonts w:ascii="Arial" w:hAnsi="Arial" w:cs="Arial"/>
        </w:rPr>
        <w:t xml:space="preserve"> waarbij </w:t>
      </w:r>
      <w:r w:rsidRPr="00D061E8">
        <w:rPr>
          <w:rFonts w:ascii="Arial" w:hAnsi="Arial" w:cs="Arial"/>
          <w:i/>
        </w:rPr>
        <w:t>f</w:t>
      </w:r>
      <w:r w:rsidRPr="00D061E8">
        <w:rPr>
          <w:rFonts w:ascii="Arial" w:hAnsi="Arial" w:cs="Arial"/>
        </w:rPr>
        <w:t xml:space="preserve"> de wrijvingscoëfficiënt is bij het blok in beweging.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그래픽">
    <w:altName w:val="Malgun Gothic"/>
    <w:charset w:val="81"/>
    <w:family w:val="roman"/>
    <w:pitch w:val="variable"/>
    <w:sig w:usb0="00000000" w:usb1="19D77CF9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E8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061E8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5C74"/>
  <w15:chartTrackingRefBased/>
  <w15:docId w15:val="{AFB0E6F8-7EEE-4CDC-B659-0EF213B4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2016-11-30T13:49:00Z</dcterms:created>
  <dcterms:modified xsi:type="dcterms:W3CDTF">2016-11-30T13:51:00Z</dcterms:modified>
</cp:coreProperties>
</file>