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850D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Een pH-indicator is een stof die van kleur verandert als de zuurgraad (pH-waarde)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verandert. Bij verschillende indicatoren gebeurt deze kleuromslag in een ander pH-gebied.</w:t>
      </w:r>
    </w:p>
    <w:p w14:paraId="68260655" w14:textId="77777777" w:rsidR="001471C3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In dit overgangsgebied heeft de indicator een mengkleur. Dit overgangsgebied noemen we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het omslagtraject van de indi</w:t>
      </w:r>
      <w:r>
        <w:rPr>
          <w:rFonts w:eastAsia="Times New Roman" w:cs="Arial"/>
        </w:rPr>
        <w:t>cator. In de onderstaande tabel</w:t>
      </w:r>
      <w:r w:rsidRPr="00AB5FC9">
        <w:rPr>
          <w:rFonts w:eastAsia="Times New Roman" w:cs="Arial"/>
        </w:rPr>
        <w:t xml:space="preserve"> staat een aantal indicatoren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met hun 'zure kleur' en 'basische kleur' en het bijbehorende omslagtraject:</w:t>
      </w:r>
    </w:p>
    <w:p w14:paraId="15CDD714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7"/>
        <w:gridCol w:w="1163"/>
        <w:gridCol w:w="1525"/>
        <w:gridCol w:w="1244"/>
      </w:tblGrid>
      <w:tr w:rsidR="001471C3" w:rsidRPr="00AB5FC9" w14:paraId="60403B6D" w14:textId="77777777" w:rsidTr="00000F6F">
        <w:tc>
          <w:tcPr>
            <w:tcW w:w="2537" w:type="dxa"/>
          </w:tcPr>
          <w:p w14:paraId="14C0D8D5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Indicator </w:t>
            </w:r>
          </w:p>
        </w:tc>
        <w:tc>
          <w:tcPr>
            <w:tcW w:w="1163" w:type="dxa"/>
          </w:tcPr>
          <w:p w14:paraId="454B308E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kleur bij lage </w:t>
            </w:r>
            <w:r>
              <w:rPr>
                <w:rFonts w:eastAsia="Times New Roman" w:cs="Arial"/>
              </w:rPr>
              <w:t>pH-waarden</w:t>
            </w:r>
          </w:p>
        </w:tc>
        <w:tc>
          <w:tcPr>
            <w:tcW w:w="1525" w:type="dxa"/>
          </w:tcPr>
          <w:p w14:paraId="709294DE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omslagtraject </w:t>
            </w:r>
            <w:r>
              <w:rPr>
                <w:rFonts w:eastAsia="Times New Roman" w:cs="Arial"/>
              </w:rPr>
              <w:t xml:space="preserve">bij 25 </w:t>
            </w:r>
            <w:r>
              <w:rPr>
                <w:rFonts w:ascii="Georgia" w:hAnsi="Georgia"/>
                <w:color w:val="666666"/>
                <w:sz w:val="23"/>
                <w:szCs w:val="23"/>
                <w:shd w:val="clear" w:color="auto" w:fill="FFFFFF"/>
              </w:rPr>
              <w:t>º</w:t>
            </w:r>
            <w:r w:rsidRPr="00AB5FC9">
              <w:rPr>
                <w:rFonts w:eastAsia="Times New Roman" w:cs="Arial"/>
              </w:rPr>
              <w:t>C</w:t>
            </w:r>
          </w:p>
        </w:tc>
        <w:tc>
          <w:tcPr>
            <w:tcW w:w="1163" w:type="dxa"/>
          </w:tcPr>
          <w:p w14:paraId="42660E52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kleur bij hoge</w:t>
            </w:r>
            <w:r>
              <w:rPr>
                <w:rFonts w:eastAsia="Times New Roman" w:cs="Arial"/>
              </w:rPr>
              <w:t xml:space="preserve"> pH-waarden</w:t>
            </w:r>
          </w:p>
        </w:tc>
      </w:tr>
      <w:tr w:rsidR="001471C3" w:rsidRPr="00AB5FC9" w14:paraId="7927D0CF" w14:textId="77777777" w:rsidTr="00000F6F">
        <w:tc>
          <w:tcPr>
            <w:tcW w:w="2537" w:type="dxa"/>
          </w:tcPr>
          <w:p w14:paraId="1B34A40F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methylrood </w:t>
            </w:r>
          </w:p>
        </w:tc>
        <w:tc>
          <w:tcPr>
            <w:tcW w:w="1163" w:type="dxa"/>
          </w:tcPr>
          <w:p w14:paraId="4D8696A9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rood </w:t>
            </w:r>
          </w:p>
        </w:tc>
        <w:tc>
          <w:tcPr>
            <w:tcW w:w="1525" w:type="dxa"/>
          </w:tcPr>
          <w:p w14:paraId="3F4EA89D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4,8 – 6,0 </w:t>
            </w:r>
          </w:p>
        </w:tc>
        <w:tc>
          <w:tcPr>
            <w:tcW w:w="1163" w:type="dxa"/>
          </w:tcPr>
          <w:p w14:paraId="47A752FF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geel</w:t>
            </w:r>
          </w:p>
        </w:tc>
      </w:tr>
      <w:tr w:rsidR="001471C3" w:rsidRPr="00AB5FC9" w14:paraId="4C63694C" w14:textId="77777777" w:rsidTr="00000F6F">
        <w:tc>
          <w:tcPr>
            <w:tcW w:w="2537" w:type="dxa"/>
          </w:tcPr>
          <w:p w14:paraId="07827CAE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lakmoes </w:t>
            </w:r>
          </w:p>
        </w:tc>
        <w:tc>
          <w:tcPr>
            <w:tcW w:w="1163" w:type="dxa"/>
          </w:tcPr>
          <w:p w14:paraId="33F5CCD8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rood </w:t>
            </w:r>
          </w:p>
        </w:tc>
        <w:tc>
          <w:tcPr>
            <w:tcW w:w="1525" w:type="dxa"/>
          </w:tcPr>
          <w:p w14:paraId="77C045B2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5,5 – 8,0 </w:t>
            </w:r>
          </w:p>
        </w:tc>
        <w:tc>
          <w:tcPr>
            <w:tcW w:w="1163" w:type="dxa"/>
          </w:tcPr>
          <w:p w14:paraId="263EA597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blauw</w:t>
            </w:r>
          </w:p>
        </w:tc>
      </w:tr>
      <w:tr w:rsidR="001471C3" w:rsidRPr="00AB5FC9" w14:paraId="70B103C9" w14:textId="77777777" w:rsidTr="00000F6F">
        <w:tc>
          <w:tcPr>
            <w:tcW w:w="2537" w:type="dxa"/>
          </w:tcPr>
          <w:p w14:paraId="1CCB617A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proofErr w:type="spellStart"/>
            <w:r w:rsidRPr="00AB5FC9">
              <w:rPr>
                <w:rFonts w:eastAsia="Times New Roman" w:cs="Arial"/>
              </w:rPr>
              <w:t>broomthymolblauw</w:t>
            </w:r>
            <w:proofErr w:type="spellEnd"/>
            <w:r w:rsidRPr="00AB5FC9">
              <w:rPr>
                <w:rFonts w:eastAsia="Times New Roman" w:cs="Arial"/>
              </w:rPr>
              <w:t xml:space="preserve"> </w:t>
            </w:r>
          </w:p>
        </w:tc>
        <w:tc>
          <w:tcPr>
            <w:tcW w:w="1163" w:type="dxa"/>
          </w:tcPr>
          <w:p w14:paraId="41674921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geel </w:t>
            </w:r>
          </w:p>
        </w:tc>
        <w:tc>
          <w:tcPr>
            <w:tcW w:w="1525" w:type="dxa"/>
          </w:tcPr>
          <w:p w14:paraId="326D5F97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6,0 – 7,6 </w:t>
            </w:r>
          </w:p>
        </w:tc>
        <w:tc>
          <w:tcPr>
            <w:tcW w:w="1163" w:type="dxa"/>
          </w:tcPr>
          <w:p w14:paraId="28F8ED36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blauw</w:t>
            </w:r>
          </w:p>
        </w:tc>
      </w:tr>
      <w:tr w:rsidR="001471C3" w:rsidRPr="00AB5FC9" w14:paraId="5D359CD9" w14:textId="77777777" w:rsidTr="00000F6F">
        <w:tc>
          <w:tcPr>
            <w:tcW w:w="2537" w:type="dxa"/>
          </w:tcPr>
          <w:p w14:paraId="51EB27AF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neutraalrood </w:t>
            </w:r>
          </w:p>
        </w:tc>
        <w:tc>
          <w:tcPr>
            <w:tcW w:w="1163" w:type="dxa"/>
          </w:tcPr>
          <w:p w14:paraId="455E538B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rood </w:t>
            </w:r>
          </w:p>
        </w:tc>
        <w:tc>
          <w:tcPr>
            <w:tcW w:w="1525" w:type="dxa"/>
          </w:tcPr>
          <w:p w14:paraId="4EB7D5B6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6,8 – 8,0 </w:t>
            </w:r>
          </w:p>
        </w:tc>
        <w:tc>
          <w:tcPr>
            <w:tcW w:w="1163" w:type="dxa"/>
          </w:tcPr>
          <w:p w14:paraId="7D8E7544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oranjegeel</w:t>
            </w:r>
          </w:p>
        </w:tc>
      </w:tr>
      <w:tr w:rsidR="001471C3" w:rsidRPr="00AB5FC9" w14:paraId="5BF71A98" w14:textId="77777777" w:rsidTr="00000F6F">
        <w:tc>
          <w:tcPr>
            <w:tcW w:w="2537" w:type="dxa"/>
          </w:tcPr>
          <w:p w14:paraId="6CCF2771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proofErr w:type="spellStart"/>
            <w:r w:rsidRPr="00AB5FC9">
              <w:rPr>
                <w:rFonts w:eastAsia="Times New Roman" w:cs="Arial"/>
              </w:rPr>
              <w:t>kresolrood</w:t>
            </w:r>
            <w:proofErr w:type="spellEnd"/>
            <w:r w:rsidRPr="00AB5FC9">
              <w:rPr>
                <w:rFonts w:eastAsia="Times New Roman" w:cs="Arial"/>
              </w:rPr>
              <w:t xml:space="preserve"> </w:t>
            </w:r>
          </w:p>
        </w:tc>
        <w:tc>
          <w:tcPr>
            <w:tcW w:w="1163" w:type="dxa"/>
          </w:tcPr>
          <w:p w14:paraId="6229087E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geel </w:t>
            </w:r>
          </w:p>
        </w:tc>
        <w:tc>
          <w:tcPr>
            <w:tcW w:w="1525" w:type="dxa"/>
          </w:tcPr>
          <w:p w14:paraId="5B37C015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 xml:space="preserve">7,0 – 8,8 </w:t>
            </w:r>
          </w:p>
        </w:tc>
        <w:tc>
          <w:tcPr>
            <w:tcW w:w="1163" w:type="dxa"/>
          </w:tcPr>
          <w:p w14:paraId="04D0DE91" w14:textId="77777777" w:rsidR="001471C3" w:rsidRPr="00AB5FC9" w:rsidRDefault="001471C3" w:rsidP="00000F6F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B5FC9">
              <w:rPr>
                <w:rFonts w:eastAsia="Times New Roman" w:cs="Arial"/>
              </w:rPr>
              <w:t>rood</w:t>
            </w:r>
          </w:p>
        </w:tc>
      </w:tr>
    </w:tbl>
    <w:p w14:paraId="31C422B8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</w:p>
    <w:p w14:paraId="4C74BD17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Emiel bepaalt met methylrood, </w:t>
      </w:r>
      <w:proofErr w:type="spellStart"/>
      <w:r w:rsidRPr="00AB5FC9">
        <w:rPr>
          <w:rFonts w:eastAsia="Times New Roman" w:cs="Arial"/>
        </w:rPr>
        <w:t>broomthymolblauw</w:t>
      </w:r>
      <w:proofErr w:type="spellEnd"/>
      <w:r w:rsidRPr="00AB5FC9">
        <w:rPr>
          <w:rFonts w:eastAsia="Times New Roman" w:cs="Arial"/>
        </w:rPr>
        <w:t xml:space="preserve"> en neutraalrood zo nauwkeurig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mogelijk de pH van een oplossing.</w:t>
      </w:r>
    </w:p>
    <w:p w14:paraId="358709CD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Methylrood kleurt de oplossing geel.</w:t>
      </w:r>
      <w:r>
        <w:rPr>
          <w:rFonts w:eastAsia="Times New Roman" w:cs="Arial"/>
        </w:rPr>
        <w:t xml:space="preserve"> </w:t>
      </w:r>
      <w:proofErr w:type="spellStart"/>
      <w:r w:rsidRPr="00AB5FC9">
        <w:rPr>
          <w:rFonts w:eastAsia="Times New Roman" w:cs="Arial"/>
        </w:rPr>
        <w:t>Broomthymolblauw</w:t>
      </w:r>
      <w:proofErr w:type="spellEnd"/>
      <w:r w:rsidRPr="00AB5FC9">
        <w:rPr>
          <w:rFonts w:eastAsia="Times New Roman" w:cs="Arial"/>
        </w:rPr>
        <w:t xml:space="preserve"> kleurt de oplossing groen.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Neutraalrood kleurt de oplossing oranje.</w:t>
      </w:r>
    </w:p>
    <w:p w14:paraId="188FCD46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Vervolgens voegt hij aan de oplossing 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toe.</w:t>
      </w:r>
    </w:p>
    <w:p w14:paraId="5FC2BB10" w14:textId="77777777" w:rsidR="001471C3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</w:p>
    <w:p w14:paraId="4C8F3D56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Tussen welke grenzen ligt de pH van de oplossing en welke kleur heeft 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in deze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oplossing?</w:t>
      </w:r>
    </w:p>
    <w:p w14:paraId="2E30F4FE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A. pH &lt; 6,0 ; 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kleurt geel</w:t>
      </w:r>
    </w:p>
    <w:p w14:paraId="27338B91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B. 6,0 &lt; pH &lt; 8,0 ;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kleurt oranje</w:t>
      </w:r>
    </w:p>
    <w:p w14:paraId="7F7E049A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C. 6,8 &lt; pH &lt; 7,6 ;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kleurt oranje</w:t>
      </w:r>
    </w:p>
    <w:p w14:paraId="20837A5D" w14:textId="77777777" w:rsidR="001471C3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 w:rsidRPr="00AB5FC9">
        <w:rPr>
          <w:rFonts w:eastAsia="Times New Roman" w:cs="Arial"/>
        </w:rPr>
        <w:t>D. 6,8 &lt; pH &lt; 8,0 ;</w:t>
      </w:r>
      <w:proofErr w:type="spellStart"/>
      <w:r w:rsidRPr="00AB5FC9">
        <w:rPr>
          <w:rFonts w:eastAsia="Times New Roman" w:cs="Arial"/>
        </w:rPr>
        <w:t>kresolrood</w:t>
      </w:r>
      <w:proofErr w:type="spellEnd"/>
      <w:r w:rsidRPr="00AB5FC9">
        <w:rPr>
          <w:rFonts w:eastAsia="Times New Roman" w:cs="Arial"/>
        </w:rPr>
        <w:t xml:space="preserve"> kleurt oranje</w:t>
      </w:r>
    </w:p>
    <w:p w14:paraId="6EFA0358" w14:textId="77777777" w:rsidR="001471C3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</w:p>
    <w:p w14:paraId="085F44B4" w14:textId="77777777" w:rsidR="001471C3" w:rsidRPr="00AB5FC9" w:rsidRDefault="001471C3" w:rsidP="001471C3">
      <w:pPr>
        <w:autoSpaceDE w:val="0"/>
        <w:autoSpaceDN w:val="0"/>
        <w:adjustRightInd w:val="0"/>
        <w:rPr>
          <w:rFonts w:eastAsia="Times New Roman" w:cs="Arial"/>
        </w:rPr>
      </w:pPr>
      <w:r>
        <w:t xml:space="preserve">Gegevens zijn ontleend aan BINAS tabel 52a, Noordhoff Uitgevers  </w:t>
      </w:r>
    </w:p>
    <w:p w14:paraId="49DB5913" w14:textId="77777777" w:rsidR="00C2662F" w:rsidRDefault="00C2662F"/>
    <w:p w14:paraId="7EF503C4" w14:textId="77777777" w:rsidR="00C2662F" w:rsidRDefault="00C2662F">
      <w:pPr>
        <w:spacing w:after="200"/>
      </w:pPr>
      <w:r>
        <w:br w:type="page"/>
      </w:r>
    </w:p>
    <w:p w14:paraId="189E7C8D" w14:textId="77777777" w:rsidR="00C2662F" w:rsidRDefault="00C2662F">
      <w:pPr>
        <w:spacing w:after="200"/>
      </w:pPr>
      <w:r>
        <w:lastRenderedPageBreak/>
        <w:br w:type="page"/>
      </w:r>
    </w:p>
    <w:p w14:paraId="131CFAED" w14:textId="77777777" w:rsidR="002A61EE" w:rsidRDefault="00C2662F">
      <w:r>
        <w:lastRenderedPageBreak/>
        <w:t>Antwoord:</w:t>
      </w:r>
    </w:p>
    <w:p w14:paraId="59D3176F" w14:textId="77777777" w:rsidR="00C2662F" w:rsidRPr="00AB5FC9" w:rsidRDefault="00C2662F" w:rsidP="00C2662F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methylrood geel, dus pH &gt; 6,0</w:t>
      </w:r>
    </w:p>
    <w:p w14:paraId="1236E627" w14:textId="77777777" w:rsidR="00C2662F" w:rsidRPr="00AB5FC9" w:rsidRDefault="00C2662F" w:rsidP="00C2662F">
      <w:pPr>
        <w:pStyle w:val="Default"/>
        <w:rPr>
          <w:sz w:val="23"/>
          <w:szCs w:val="23"/>
        </w:rPr>
      </w:pPr>
      <w:proofErr w:type="spellStart"/>
      <w:r w:rsidRPr="00AB5FC9">
        <w:rPr>
          <w:sz w:val="23"/>
          <w:szCs w:val="23"/>
        </w:rPr>
        <w:t>broomthymolblauw</w:t>
      </w:r>
      <w:proofErr w:type="spellEnd"/>
      <w:r w:rsidRPr="00AB5FC9">
        <w:rPr>
          <w:sz w:val="23"/>
          <w:szCs w:val="23"/>
        </w:rPr>
        <w:t xml:space="preserve"> groen, dus 6,0 &lt; pH &lt; 7,6</w:t>
      </w:r>
    </w:p>
    <w:p w14:paraId="5F281E10" w14:textId="77777777" w:rsidR="00C2662F" w:rsidRPr="00AB5FC9" w:rsidRDefault="00C2662F" w:rsidP="00C2662F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neutraalrood oranje, dus 6,8 &lt; pH &lt; 8,0</w:t>
      </w:r>
    </w:p>
    <w:p w14:paraId="211638FC" w14:textId="77777777" w:rsidR="00C2662F" w:rsidRDefault="00C2662F" w:rsidP="00C2662F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 xml:space="preserve">conclusie 6,8 &lt; pH &lt; 7,6 en </w:t>
      </w:r>
      <w:proofErr w:type="spellStart"/>
      <w:r w:rsidRPr="00AB5FC9">
        <w:rPr>
          <w:sz w:val="23"/>
          <w:szCs w:val="23"/>
        </w:rPr>
        <w:t>kresolrood</w:t>
      </w:r>
      <w:proofErr w:type="spellEnd"/>
      <w:r w:rsidRPr="00AB5FC9">
        <w:rPr>
          <w:sz w:val="23"/>
          <w:szCs w:val="23"/>
        </w:rPr>
        <w:t xml:space="preserve"> kleurt oranje</w:t>
      </w:r>
      <w:r>
        <w:rPr>
          <w:sz w:val="23"/>
          <w:szCs w:val="23"/>
        </w:rPr>
        <w:t>.</w:t>
      </w:r>
    </w:p>
    <w:p w14:paraId="6C94E7F9" w14:textId="77777777" w:rsidR="001471C3" w:rsidRDefault="001471C3" w:rsidP="00C2662F">
      <w:pPr>
        <w:pStyle w:val="Default"/>
        <w:rPr>
          <w:sz w:val="23"/>
          <w:szCs w:val="23"/>
        </w:rPr>
      </w:pPr>
      <w:bookmarkStart w:id="0" w:name="_GoBack"/>
      <w:bookmarkEnd w:id="0"/>
    </w:p>
    <w:p w14:paraId="27941FCA" w14:textId="77777777" w:rsidR="00C2662F" w:rsidRDefault="00C2662F" w:rsidP="00C2662F">
      <w:r>
        <w:rPr>
          <w:sz w:val="23"/>
          <w:szCs w:val="23"/>
        </w:rPr>
        <w:t>Het juiste antwoord is C.</w:t>
      </w:r>
    </w:p>
    <w:sectPr w:rsidR="00C2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2F"/>
    <w:rsid w:val="00017AD6"/>
    <w:rsid w:val="00063FAA"/>
    <w:rsid w:val="0009310F"/>
    <w:rsid w:val="000C56AE"/>
    <w:rsid w:val="001471C3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2662F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B2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66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662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62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662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662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62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1300</Characters>
  <Application>Microsoft Macintosh Word</Application>
  <DocSecurity>0</DocSecurity>
  <Lines>10</Lines>
  <Paragraphs>3</Paragraphs>
  <ScaleCrop>false</ScaleCrop>
  <Company>CnCZ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2016-10-02T16:01:00Z</dcterms:modified>
</cp:coreProperties>
</file>